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2B981">
      <w:pPr>
        <w:jc w:val="center"/>
        <w:rPr>
          <w:rFonts w:hint="eastAsia" w:ascii="方正小标宋简体" w:hAnsi="方正小标宋简体" w:eastAsia="方正小标宋简体" w:cs="方正小标宋简体"/>
          <w:b/>
          <w:bCs/>
          <w:w w:val="90"/>
          <w:sz w:val="44"/>
          <w:szCs w:val="44"/>
        </w:rPr>
      </w:pPr>
      <w:r>
        <w:rPr>
          <w:rFonts w:hint="eastAsia" w:ascii="方正小标宋简体" w:hAnsi="方正小标宋简体" w:eastAsia="方正小标宋简体" w:cs="方正小标宋简体"/>
          <w:b/>
          <w:bCs/>
          <w:w w:val="90"/>
          <w:sz w:val="44"/>
          <w:szCs w:val="44"/>
        </w:rPr>
        <w:t>济南鲍德冶金石灰石有限公司</w:t>
      </w:r>
    </w:p>
    <w:p w14:paraId="77D80C53">
      <w:pPr>
        <w:widowControl/>
        <w:tabs>
          <w:tab w:val="left" w:leader="underscore" w:pos="5965"/>
        </w:tabs>
        <w:spacing w:line="240" w:lineRule="atLeast"/>
        <w:jc w:val="center"/>
        <w:rPr>
          <w:rFonts w:ascii="方正小标宋简体" w:eastAsia="方正小标宋简体"/>
          <w:b/>
          <w:bCs/>
          <w:spacing w:val="-20"/>
          <w:sz w:val="48"/>
          <w:szCs w:val="48"/>
        </w:rPr>
      </w:pPr>
      <w:bookmarkStart w:id="0" w:name="_Hlk206491617"/>
      <w:r>
        <w:rPr>
          <w:rFonts w:hint="eastAsia" w:ascii="方正小标宋简体" w:eastAsia="方正小标宋简体"/>
          <w:b/>
          <w:bCs/>
          <w:sz w:val="44"/>
          <w:szCs w:val="44"/>
        </w:rPr>
        <w:t>产品结构调整质量提升技术创新项目安全设施“三同时”技术服务项目</w:t>
      </w:r>
    </w:p>
    <w:bookmarkEnd w:id="0"/>
    <w:p w14:paraId="00F3613F">
      <w:pPr>
        <w:spacing w:before="468" w:beforeLines="150" w:after="468" w:afterLines="150"/>
        <w:ind w:firstLine="2553" w:firstLineChars="7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（谈判编号</w:t>
      </w:r>
      <w:r>
        <w:rPr>
          <w:rFonts w:hint="eastAsia" w:ascii="仿宋_GB2312" w:hAnsi="仿宋_GB2312" w:eastAsia="仿宋_GB2312" w:cs="仿宋_GB2312"/>
          <w:sz w:val="32"/>
          <w:szCs w:val="32"/>
          <w:lang w:val="en-US" w:eastAsia="zh-CN"/>
        </w:rPr>
        <w:t>1253250902001</w:t>
      </w:r>
      <w:r>
        <w:rPr>
          <w:rFonts w:hint="eastAsia" w:ascii="仿宋_GB2312" w:hAnsi="仿宋_GB2312" w:eastAsia="仿宋_GB2312" w:cs="仿宋_GB2312"/>
          <w:sz w:val="32"/>
          <w:szCs w:val="32"/>
        </w:rPr>
        <w:t xml:space="preserve">  ）</w:t>
      </w:r>
    </w:p>
    <w:p w14:paraId="3F06728C">
      <w:pPr>
        <w:spacing w:before="468" w:beforeLines="150" w:after="468" w:afterLines="150"/>
        <w:jc w:val="center"/>
        <w:rPr>
          <w:rFonts w:hint="eastAsia" w:ascii="宋体" w:hAnsi="宋体" w:eastAsia="方正小标宋简体"/>
          <w:b/>
          <w:sz w:val="52"/>
          <w:szCs w:val="52"/>
          <w:lang w:val="en-US" w:eastAsia="zh-CN"/>
        </w:rPr>
      </w:pPr>
      <w:r>
        <w:rPr>
          <w:rFonts w:hint="eastAsia" w:ascii="方正小标宋简体" w:hAnsi="方正小标宋简体" w:eastAsia="方正小标宋简体" w:cs="方正小标宋简体"/>
          <w:b/>
          <w:bCs/>
          <w:w w:val="90"/>
          <w:sz w:val="52"/>
          <w:szCs w:val="52"/>
        </w:rPr>
        <w:t>竞争性谈判</w:t>
      </w:r>
      <w:r>
        <w:rPr>
          <w:rFonts w:hint="eastAsia" w:ascii="方正小标宋简体" w:hAnsi="方正小标宋简体" w:eastAsia="方正小标宋简体" w:cs="方正小标宋简体"/>
          <w:b/>
          <w:bCs/>
          <w:w w:val="90"/>
          <w:sz w:val="52"/>
          <w:szCs w:val="52"/>
          <w:lang w:val="en-US" w:eastAsia="zh-CN"/>
        </w:rPr>
        <w:t>公告</w:t>
      </w:r>
    </w:p>
    <w:p w14:paraId="00B0CFFF">
      <w:pPr>
        <w:spacing w:line="360" w:lineRule="auto"/>
        <w:rPr>
          <w:rFonts w:ascii="宋体"/>
          <w:b/>
          <w:sz w:val="32"/>
          <w:szCs w:val="32"/>
        </w:rPr>
      </w:pPr>
    </w:p>
    <w:p w14:paraId="4FDFAB05">
      <w:pPr>
        <w:spacing w:line="360" w:lineRule="auto"/>
        <w:rPr>
          <w:rFonts w:ascii="宋体"/>
          <w:b/>
          <w:sz w:val="32"/>
          <w:szCs w:val="32"/>
        </w:rPr>
      </w:pPr>
    </w:p>
    <w:p w14:paraId="152D5221">
      <w:pPr>
        <w:pStyle w:val="2"/>
        <w:rPr>
          <w:b/>
          <w:sz w:val="32"/>
          <w:szCs w:val="32"/>
        </w:rPr>
      </w:pPr>
    </w:p>
    <w:p w14:paraId="7E3EE241">
      <w:pPr>
        <w:pStyle w:val="2"/>
        <w:rPr>
          <w:b/>
          <w:sz w:val="32"/>
          <w:szCs w:val="32"/>
        </w:rPr>
      </w:pPr>
    </w:p>
    <w:p w14:paraId="4E74A097">
      <w:pPr>
        <w:pStyle w:val="2"/>
        <w:rPr>
          <w:b/>
          <w:sz w:val="32"/>
          <w:szCs w:val="32"/>
        </w:rPr>
      </w:pPr>
    </w:p>
    <w:p w14:paraId="36218743">
      <w:pPr>
        <w:pStyle w:val="2"/>
        <w:rPr>
          <w:b/>
          <w:sz w:val="32"/>
          <w:szCs w:val="32"/>
        </w:rPr>
      </w:pPr>
    </w:p>
    <w:p w14:paraId="0F234F8D">
      <w:pPr>
        <w:spacing w:line="360" w:lineRule="auto"/>
        <w:rPr>
          <w:rFonts w:ascii="宋体"/>
          <w:b/>
          <w:sz w:val="32"/>
          <w:szCs w:val="32"/>
        </w:rPr>
      </w:pPr>
    </w:p>
    <w:p w14:paraId="72FAF55B">
      <w:pPr>
        <w:pStyle w:val="8"/>
        <w:spacing w:line="600" w:lineRule="auto"/>
        <w:jc w:val="center"/>
        <w:rPr>
          <w:rFonts w:hint="eastAsia" w:ascii="仿宋_GB2312" w:hAnsi="仿宋_GB2312" w:eastAsia="仿宋_GB2312" w:cs="仿宋_GB2312"/>
          <w:b/>
          <w:spacing w:val="28"/>
          <w:sz w:val="32"/>
          <w:szCs w:val="32"/>
        </w:rPr>
      </w:pPr>
      <w:r>
        <w:rPr>
          <w:rFonts w:hint="eastAsia" w:ascii="仿宋_GB2312" w:hAnsi="仿宋_GB2312" w:eastAsia="仿宋_GB2312" w:cs="仿宋_GB2312"/>
          <w:b/>
          <w:sz w:val="32"/>
          <w:szCs w:val="32"/>
        </w:rPr>
        <w:t>招标人：济南鲍德冶金石灰石有限公司</w:t>
      </w:r>
    </w:p>
    <w:p w14:paraId="5964B000">
      <w:pPr>
        <w:pStyle w:val="8"/>
        <w:spacing w:line="600" w:lineRule="auto"/>
        <w:jc w:val="center"/>
        <w:rPr>
          <w:rFonts w:hint="default" w:ascii="仿宋_GB2312" w:hAnsi="仿宋_GB2312" w:eastAsia="仿宋_GB2312" w:cs="仿宋_GB2312"/>
          <w:b/>
          <w:spacing w:val="28"/>
          <w:sz w:val="32"/>
          <w:szCs w:val="32"/>
          <w:lang w:val="en-US" w:eastAsia="zh-CN"/>
        </w:rPr>
        <w:sectPr>
          <w:footerReference r:id="rId3" w:type="default"/>
          <w:pgSz w:w="11906" w:h="16838"/>
          <w:pgMar w:top="1418" w:right="1135" w:bottom="1418" w:left="1135" w:header="851" w:footer="992" w:gutter="0"/>
          <w:pgNumType w:start="1"/>
          <w:cols w:space="720" w:num="1"/>
          <w:docGrid w:type="lines" w:linePitch="312" w:charSpace="0"/>
        </w:sectPr>
      </w:pPr>
      <w:r>
        <w:rPr>
          <w:rFonts w:hint="eastAsia" w:ascii="仿宋_GB2312" w:hAnsi="仿宋_GB2312" w:eastAsia="仿宋_GB2312" w:cs="仿宋_GB2312"/>
          <w:b/>
          <w:spacing w:val="28"/>
          <w:sz w:val="32"/>
          <w:szCs w:val="32"/>
        </w:rPr>
        <w:t>2025年</w:t>
      </w:r>
      <w:r>
        <w:rPr>
          <w:rFonts w:hint="eastAsia" w:ascii="仿宋_GB2312" w:hAnsi="仿宋_GB2312" w:eastAsia="仿宋_GB2312" w:cs="仿宋_GB2312"/>
          <w:b/>
          <w:spacing w:val="28"/>
          <w:sz w:val="32"/>
          <w:szCs w:val="32"/>
          <w:lang w:val="en-US" w:eastAsia="zh-CN"/>
        </w:rPr>
        <w:t>9</w:t>
      </w:r>
      <w:r>
        <w:rPr>
          <w:rFonts w:hint="eastAsia" w:ascii="仿宋_GB2312" w:hAnsi="仿宋_GB2312" w:eastAsia="仿宋_GB2312" w:cs="仿宋_GB2312"/>
          <w:b/>
          <w:spacing w:val="28"/>
          <w:sz w:val="32"/>
          <w:szCs w:val="32"/>
        </w:rPr>
        <w:t>月</w:t>
      </w:r>
      <w:r>
        <w:rPr>
          <w:rFonts w:hint="eastAsia" w:ascii="仿宋_GB2312" w:hAnsi="仿宋_GB2312" w:eastAsia="仿宋_GB2312" w:cs="仿宋_GB2312"/>
          <w:b/>
          <w:spacing w:val="28"/>
          <w:sz w:val="32"/>
          <w:szCs w:val="32"/>
          <w:lang w:val="en-US" w:eastAsia="zh-CN"/>
        </w:rPr>
        <w:t>2日</w:t>
      </w:r>
    </w:p>
    <w:p w14:paraId="1C38395F">
      <w:pPr>
        <w:pStyle w:val="9"/>
        <w:rPr>
          <w:rFonts w:hint="eastAsia" w:ascii="方正小标宋简体" w:hAnsi="方正小标宋简体" w:eastAsia="方正小标宋简体" w:cs="方正小标宋简体"/>
          <w:sz w:val="44"/>
          <w:szCs w:val="44"/>
        </w:rPr>
      </w:pPr>
      <w:bookmarkStart w:id="1" w:name="_Toc23055"/>
      <w:bookmarkStart w:id="2" w:name="_Toc446434284"/>
      <w:bookmarkStart w:id="3" w:name="_Toc521503245"/>
      <w:r>
        <w:rPr>
          <w:rFonts w:hint="eastAsia" w:ascii="方正小标宋简体" w:hAnsi="方正小标宋简体" w:eastAsia="方正小标宋简体" w:cs="方正小标宋简体"/>
          <w:sz w:val="44"/>
          <w:szCs w:val="44"/>
        </w:rPr>
        <w:t>目录</w:t>
      </w:r>
    </w:p>
    <w:p w14:paraId="23ECBFBD">
      <w:pPr>
        <w:pStyle w:val="9"/>
        <w:rPr>
          <w:rFonts w:hint="eastAsia" w:ascii="仿宋_GB2312" w:hAnsi="仿宋_GB2312" w:eastAsia="仿宋_GB2312" w:cs="仿宋_GB2312"/>
        </w:rPr>
      </w:pPr>
    </w:p>
    <w:p w14:paraId="04724E00">
      <w:pPr>
        <w:pStyle w:val="9"/>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竞争性谈判公告</w:t>
      </w:r>
    </w:p>
    <w:p w14:paraId="79934927">
      <w:pPr>
        <w:pStyle w:val="9"/>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投标人须知</w:t>
      </w:r>
    </w:p>
    <w:p w14:paraId="56459A18">
      <w:pPr>
        <w:pStyle w:val="9"/>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评标办法</w:t>
      </w:r>
    </w:p>
    <w:p w14:paraId="1B636182">
      <w:pPr>
        <w:pStyle w:val="9"/>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合同条款及格式</w:t>
      </w:r>
    </w:p>
    <w:p w14:paraId="784D6C7B">
      <w:pPr>
        <w:pStyle w:val="9"/>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投标文件格式及内容</w:t>
      </w:r>
    </w:p>
    <w:p w14:paraId="61E1E2EB">
      <w:pPr>
        <w:pStyle w:val="9"/>
        <w:jc w:val="left"/>
        <w:rPr>
          <w:rFonts w:hint="eastAsia" w:ascii="仿宋_GB2312" w:hAnsi="仿宋_GB2312" w:eastAsia="仿宋_GB2312" w:cs="仿宋_GB2312"/>
        </w:rPr>
      </w:pPr>
    </w:p>
    <w:p w14:paraId="3F7D374F">
      <w:pPr>
        <w:pStyle w:val="9"/>
        <w:rPr>
          <w:rFonts w:hint="eastAsia" w:ascii="仿宋_GB2312" w:hAnsi="仿宋_GB2312" w:eastAsia="仿宋_GB2312" w:cs="仿宋_GB2312"/>
        </w:rPr>
      </w:pPr>
    </w:p>
    <w:p w14:paraId="59DAD84C">
      <w:pPr>
        <w:pStyle w:val="9"/>
        <w:rPr>
          <w:rFonts w:hint="eastAsia" w:ascii="仿宋_GB2312" w:hAnsi="仿宋_GB2312" w:eastAsia="仿宋_GB2312" w:cs="仿宋_GB2312"/>
        </w:rPr>
      </w:pPr>
    </w:p>
    <w:p w14:paraId="0AFB98EE">
      <w:pPr>
        <w:pStyle w:val="9"/>
        <w:rPr>
          <w:rFonts w:hint="eastAsia" w:ascii="黑体" w:hAnsi="黑体" w:eastAsia="黑体" w:cs="仿宋_GB2312"/>
        </w:rPr>
      </w:pPr>
    </w:p>
    <w:p w14:paraId="1BC7D44F">
      <w:pPr>
        <w:pStyle w:val="9"/>
        <w:rPr>
          <w:rFonts w:hint="eastAsia" w:ascii="黑体" w:hAnsi="黑体" w:eastAsia="黑体" w:cs="仿宋_GB2312"/>
        </w:rPr>
      </w:pPr>
    </w:p>
    <w:p w14:paraId="294454D1">
      <w:pPr>
        <w:pStyle w:val="9"/>
        <w:rPr>
          <w:rFonts w:hint="eastAsia" w:ascii="黑体" w:hAnsi="黑体" w:eastAsia="黑体" w:cs="仿宋_GB2312"/>
        </w:rPr>
      </w:pPr>
    </w:p>
    <w:p w14:paraId="6A47DF3B">
      <w:pPr>
        <w:pStyle w:val="9"/>
        <w:rPr>
          <w:rFonts w:hint="eastAsia" w:ascii="黑体" w:hAnsi="黑体" w:eastAsia="黑体" w:cs="仿宋_GB2312"/>
        </w:rPr>
      </w:pPr>
    </w:p>
    <w:p w14:paraId="417F25D3">
      <w:pPr>
        <w:pStyle w:val="9"/>
        <w:rPr>
          <w:rFonts w:hint="eastAsia" w:ascii="黑体" w:hAnsi="黑体" w:eastAsia="黑体" w:cs="仿宋_GB2312"/>
        </w:rPr>
      </w:pPr>
    </w:p>
    <w:p w14:paraId="5F9E55DE">
      <w:pPr>
        <w:pStyle w:val="9"/>
        <w:rPr>
          <w:rFonts w:hint="eastAsia" w:ascii="黑体" w:hAnsi="黑体" w:eastAsia="黑体" w:cs="仿宋_GB2312"/>
        </w:rPr>
      </w:pPr>
    </w:p>
    <w:p w14:paraId="7D6C2B96">
      <w:pPr>
        <w:pStyle w:val="9"/>
        <w:rPr>
          <w:rFonts w:hint="eastAsia" w:ascii="黑体" w:hAnsi="黑体" w:eastAsia="黑体" w:cs="仿宋_GB2312"/>
        </w:rPr>
      </w:pPr>
    </w:p>
    <w:p w14:paraId="2D1F9735">
      <w:pPr>
        <w:pStyle w:val="9"/>
        <w:rPr>
          <w:rFonts w:hint="eastAsia" w:ascii="黑体" w:hAnsi="黑体" w:eastAsia="黑体" w:cs="仿宋_GB2312"/>
        </w:rPr>
      </w:pPr>
    </w:p>
    <w:p w14:paraId="53A257C1">
      <w:pPr>
        <w:pStyle w:val="9"/>
        <w:rPr>
          <w:rFonts w:hint="eastAsia" w:ascii="黑体" w:hAnsi="黑体" w:eastAsia="黑体" w:cs="仿宋_GB2312"/>
        </w:rPr>
      </w:pPr>
    </w:p>
    <w:p w14:paraId="5297E2B4">
      <w:pPr>
        <w:pStyle w:val="9"/>
        <w:rPr>
          <w:rFonts w:hint="eastAsia" w:ascii="黑体" w:hAnsi="黑体" w:eastAsia="黑体" w:cs="仿宋_GB2312"/>
        </w:rPr>
      </w:pPr>
    </w:p>
    <w:p w14:paraId="6945088F">
      <w:pPr>
        <w:pStyle w:val="9"/>
        <w:rPr>
          <w:rFonts w:hint="eastAsia" w:ascii="黑体" w:hAnsi="黑体" w:eastAsia="黑体" w:cs="仿宋_GB2312"/>
        </w:rPr>
      </w:pPr>
    </w:p>
    <w:p w14:paraId="01B82E40">
      <w:pPr>
        <w:pStyle w:val="9"/>
        <w:rPr>
          <w:rFonts w:hint="eastAsia" w:ascii="黑体" w:hAnsi="黑体" w:eastAsia="黑体" w:cs="仿宋_GB2312"/>
        </w:rPr>
      </w:pPr>
    </w:p>
    <w:p w14:paraId="6C1B9D8D">
      <w:pPr>
        <w:pStyle w:val="9"/>
        <w:rPr>
          <w:rFonts w:hint="eastAsia" w:ascii="黑体" w:hAnsi="黑体" w:eastAsia="黑体" w:cs="仿宋_GB2312"/>
        </w:rPr>
      </w:pPr>
    </w:p>
    <w:p w14:paraId="33BEFD8D">
      <w:pPr>
        <w:pStyle w:val="9"/>
        <w:rPr>
          <w:rFonts w:hint="eastAsia" w:ascii="黑体" w:hAnsi="黑体" w:eastAsia="黑体" w:cs="仿宋_GB2312"/>
        </w:rPr>
      </w:pPr>
    </w:p>
    <w:p w14:paraId="242FC8D6">
      <w:pPr>
        <w:pStyle w:val="9"/>
        <w:rPr>
          <w:rFonts w:hint="eastAsia" w:ascii="黑体" w:hAnsi="黑体" w:eastAsia="黑体" w:cs="仿宋_GB2312"/>
        </w:rPr>
      </w:pPr>
    </w:p>
    <w:p w14:paraId="6DF28CC4">
      <w:pPr>
        <w:pStyle w:val="9"/>
        <w:jc w:val="center"/>
        <w:rPr>
          <w:rFonts w:hint="eastAsia" w:ascii="黑体" w:hAnsi="黑体" w:eastAsia="黑体" w:cs="仿宋_GB2312"/>
        </w:rPr>
      </w:pPr>
      <w:r>
        <w:rPr>
          <w:rFonts w:hint="eastAsia" w:ascii="黑体" w:hAnsi="黑体" w:eastAsia="黑体" w:cs="仿宋_GB2312"/>
        </w:rPr>
        <w:t>第一章 竞争性谈判公告</w:t>
      </w:r>
      <w:bookmarkEnd w:id="1"/>
    </w:p>
    <w:p w14:paraId="3C184815">
      <w:pPr>
        <w:spacing w:line="360" w:lineRule="auto"/>
        <w:ind w:firstLine="562" w:firstLineChars="200"/>
        <w:jc w:val="left"/>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一、竞争性谈判编号：</w:t>
      </w:r>
      <w:r>
        <w:rPr>
          <w:rFonts w:hint="eastAsia" w:ascii="仿宋_GB2312" w:hAnsi="仿宋_GB2312" w:eastAsia="仿宋_GB2312" w:cs="仿宋_GB2312"/>
          <w:b/>
          <w:sz w:val="28"/>
          <w:szCs w:val="28"/>
          <w:lang w:val="en-US" w:eastAsia="zh-CN"/>
        </w:rPr>
        <w:t>1253250902001</w:t>
      </w:r>
    </w:p>
    <w:p w14:paraId="7D47DECB">
      <w:pPr>
        <w:ind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二、竞争性谈判名称：</w:t>
      </w:r>
      <w:r>
        <w:rPr>
          <w:rFonts w:hint="eastAsia" w:ascii="仿宋_GB2312" w:hAnsi="仿宋_GB2312" w:eastAsia="仿宋_GB2312" w:cs="仿宋_GB2312"/>
          <w:bCs/>
          <w:sz w:val="28"/>
          <w:szCs w:val="28"/>
        </w:rPr>
        <w:t>产品结构调整质量提升技术创新项目安全设施“三同时”技术服务项目</w:t>
      </w:r>
    </w:p>
    <w:p w14:paraId="1F997F88">
      <w:pPr>
        <w:ind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三、项目地点</w:t>
      </w:r>
      <w:r>
        <w:rPr>
          <w:rFonts w:hint="eastAsia" w:ascii="仿宋_GB2312" w:hAnsi="仿宋_GB2312" w:eastAsia="仿宋_GB2312" w:cs="仿宋_GB2312"/>
          <w:bCs/>
          <w:sz w:val="28"/>
          <w:szCs w:val="28"/>
        </w:rPr>
        <w:t>：济南市章丘区埠村街道办事处翟家庄村南</w:t>
      </w:r>
    </w:p>
    <w:p w14:paraId="15666FF7">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四、招标内容</w:t>
      </w:r>
    </w:p>
    <w:p w14:paraId="279FF3A9">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济南鲍德冶金石灰石有限公司对破碎加工产线开展产品结构调整质量提升技术创新项目，通过优化筛分工艺，增加皮带机，调整产品结构，加大部分带式输送机输送功率，提升产能，改进部分破碎和筛分工艺等措施，生产更加适配市场的的产品，稳定产品质量，提高产品附加值，进一步发挥熔剂用石灰石资源价值。</w:t>
      </w:r>
    </w:p>
    <w:p w14:paraId="6EE88680">
      <w:pPr>
        <w:pStyle w:val="4"/>
        <w:spacing w:before="0" w:beforeAutospacing="0" w:after="0" w:afterAutospacing="0"/>
        <w:ind w:left="562"/>
        <w:jc w:val="both"/>
        <w:rPr>
          <w:rFonts w:hint="eastAsia" w:ascii="楷体_GB2312" w:hAnsi="黑体" w:eastAsia="楷体_GB2312" w:cs="黑体"/>
          <w:b/>
          <w:kern w:val="2"/>
          <w:sz w:val="28"/>
          <w:szCs w:val="28"/>
        </w:rPr>
      </w:pPr>
      <w:r>
        <w:rPr>
          <w:rFonts w:hint="eastAsia" w:ascii="楷体_GB2312" w:hAnsi="黑体" w:eastAsia="楷体_GB2312" w:cs="黑体"/>
          <w:b/>
          <w:kern w:val="2"/>
          <w:sz w:val="28"/>
          <w:szCs w:val="28"/>
        </w:rPr>
        <w:t>（一）服务范围</w:t>
      </w:r>
    </w:p>
    <w:p w14:paraId="1088EDDA">
      <w:pPr>
        <w:pStyle w:val="4"/>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1.完成项目的《安全生产条件与设施综合分析报告》、《安全设施设计》、《安全验收评价》等文件的编制工作，并组织相关专家论证且顺利通过安全条件审查、安全设施设计审查，出具相应书面报告。</w:t>
      </w:r>
    </w:p>
    <w:p w14:paraId="550051B3">
      <w:pPr>
        <w:pStyle w:val="4"/>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2.完成项目安全设施竣工验收手续。</w:t>
      </w:r>
    </w:p>
    <w:p w14:paraId="0193092F">
      <w:pPr>
        <w:pStyle w:val="4"/>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3.书面报告必须符合现行国家和地方相关法律、法规、规定和规范等。</w:t>
      </w:r>
    </w:p>
    <w:p w14:paraId="2CCCCA8C">
      <w:pPr>
        <w:pStyle w:val="4"/>
        <w:spacing w:before="0" w:beforeAutospacing="0" w:after="0" w:afterAutospacing="0"/>
        <w:ind w:firstLine="562" w:firstLineChars="200"/>
        <w:jc w:val="both"/>
        <w:rPr>
          <w:rFonts w:hint="eastAsia" w:ascii="楷体_GB2312" w:hAnsi="黑体" w:eastAsia="楷体_GB2312" w:cs="黑体"/>
          <w:b/>
          <w:kern w:val="2"/>
          <w:sz w:val="28"/>
          <w:szCs w:val="28"/>
        </w:rPr>
      </w:pPr>
      <w:r>
        <w:rPr>
          <w:rFonts w:hint="eastAsia" w:ascii="楷体_GB2312" w:hAnsi="黑体" w:eastAsia="楷体_GB2312" w:cs="黑体"/>
          <w:b/>
          <w:kern w:val="2"/>
          <w:sz w:val="28"/>
          <w:szCs w:val="28"/>
        </w:rPr>
        <w:t>（二）合同履行期限</w:t>
      </w:r>
    </w:p>
    <w:p w14:paraId="12008134">
      <w:pPr>
        <w:pStyle w:val="4"/>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1.自签订合同起30日历天内，完成《安全生产条件与设施综合分析报告》及相关工作，项目开工建设前通过安全预评价；</w:t>
      </w:r>
    </w:p>
    <w:p w14:paraId="0A463C8D">
      <w:pPr>
        <w:pStyle w:val="4"/>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2.项目设备进场前，完成《安全设施设计》及相关工作（该项工作可以专业分包给具有相应设计资质的单位）；</w:t>
      </w:r>
    </w:p>
    <w:p w14:paraId="6A73D860">
      <w:pPr>
        <w:pStyle w:val="4"/>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3.项目投入运营后30日历天内，完成《安全验收评价》及相关工作；</w:t>
      </w:r>
    </w:p>
    <w:p w14:paraId="6EA47A02">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五、投标资格要求</w:t>
      </w:r>
    </w:p>
    <w:p w14:paraId="3C02B39D">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1.投标人必须具有有效营业执照和独立法人资格,有供应能力的国内企业或在国内注册的外国独资或中外合资、合作企业，注册资金300万元以上，投标人应遵守有关的中国法律和规章条例。</w:t>
      </w:r>
    </w:p>
    <w:p w14:paraId="7B47EF82">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2.投标人应至少取得《安全评价机构资质证书》乙级资质。</w:t>
      </w:r>
    </w:p>
    <w:p w14:paraId="41864A82">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3.投标方委托的本项目技术负责人需具备高级职称及5年以上相关经验，安全评价人员需持有注册安全工程师或安全评价师资格证书。</w:t>
      </w:r>
    </w:p>
    <w:p w14:paraId="5F70FA2D">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4.投标方委托的本项目技术负责人及安全评价人员须为本单位正式员工。</w:t>
      </w:r>
    </w:p>
    <w:p w14:paraId="12DAA28F">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5.投标人应具备良好的资金实力和财务状况，经营状况良好，没有处于被责令停业或破产状态，且资产未被重组、接管或冻结。</w:t>
      </w:r>
    </w:p>
    <w:p w14:paraId="7AE375E6">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6.投标人在投标时须单独提供项目实施团队完整名单和成员简历，并保证在项目实施期间不得随意变更实施团队成员（增加成员除外），提供书面承诺函。</w:t>
      </w:r>
    </w:p>
    <w:p w14:paraId="7891C5DC">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投标人具有良好的银行资信和商业信誉，提供开标前六个月内银行开具的资信证明；没有在“国家企业信用信息公示系统”网站或各级信用信息共享平台被列为失信企业名单或经营异常名录，提供信用中国网站信用记录截屏。</w:t>
      </w:r>
    </w:p>
    <w:p w14:paraId="3298039B">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8.单位负责人为同一人或者存在控股、管理关系的不同单位，或同一母公司的子公司，不能同时参加投标。</w:t>
      </w:r>
    </w:p>
    <w:p w14:paraId="2BDE6125">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9.投标人及其法定代表人自投标截止日起向前24个月内无行贿犯罪记录。</w:t>
      </w:r>
    </w:p>
    <w:p w14:paraId="5F4D27A4">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10.业绩要求:投标人近3年（以合同签订时间为准）开展安全评价服务工作且通过安全设计验收不低于2项。</w:t>
      </w:r>
    </w:p>
    <w:p w14:paraId="3E9351BF">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11.不接受联合体投标。。</w:t>
      </w:r>
    </w:p>
    <w:p w14:paraId="66551E70">
      <w:pPr>
        <w:spacing w:line="360" w:lineRule="auto"/>
        <w:ind w:firstLine="560"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
          <w:sz w:val="28"/>
          <w:szCs w:val="28"/>
        </w:rPr>
        <w:t>六、公告和报名</w:t>
      </w:r>
    </w:p>
    <w:p w14:paraId="4F3D51BF">
      <w:pPr>
        <w:spacing w:line="360" w:lineRule="auto"/>
        <w:ind w:firstLine="560" w:firstLineChars="200"/>
        <w:jc w:val="left"/>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rPr>
        <w:t>1、报名方式：通过登录济钢集团阳光购销平台网上</w:t>
      </w:r>
      <w:r>
        <w:rPr>
          <w:rFonts w:hint="eastAsia" w:ascii="仿宋_GB2312" w:hAnsi="仿宋_GB2312" w:eastAsia="仿宋_GB2312" w:cs="仿宋_GB2312"/>
          <w:bCs/>
          <w:sz w:val="28"/>
          <w:szCs w:val="28"/>
          <w:lang w:val="en-US" w:eastAsia="zh-CN"/>
        </w:rPr>
        <w:t>报名</w:t>
      </w:r>
      <w:r>
        <w:rPr>
          <w:rFonts w:hint="eastAsia" w:ascii="仿宋_GB2312" w:hAnsi="仿宋_GB2312" w:eastAsia="仿宋_GB2312" w:cs="仿宋_GB2312"/>
          <w:bCs/>
          <w:sz w:val="28"/>
          <w:szCs w:val="28"/>
        </w:rPr>
        <w:t>bidding.jigang.com.cn。</w:t>
      </w:r>
    </w:p>
    <w:p w14:paraId="32CD2EDA">
      <w:pPr>
        <w:spacing w:line="360" w:lineRule="auto"/>
        <w:ind w:firstLine="562" w:firstLineChars="200"/>
        <w:jc w:val="left"/>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2、公告和报名时间：2025年</w:t>
      </w:r>
      <w:r>
        <w:rPr>
          <w:rFonts w:hint="eastAsia" w:ascii="仿宋_GB2312" w:hAnsi="仿宋_GB2312" w:eastAsia="仿宋_GB2312" w:cs="仿宋_GB2312"/>
          <w:b/>
          <w:bCs w:val="0"/>
          <w:sz w:val="28"/>
          <w:szCs w:val="28"/>
          <w:lang w:val="en-US" w:eastAsia="zh-CN"/>
        </w:rPr>
        <w:t>9</w:t>
      </w:r>
      <w:r>
        <w:rPr>
          <w:rFonts w:hint="eastAsia" w:ascii="仿宋_GB2312" w:hAnsi="仿宋_GB2312" w:eastAsia="仿宋_GB2312" w:cs="仿宋_GB2312"/>
          <w:b/>
          <w:bCs w:val="0"/>
          <w:sz w:val="28"/>
          <w:szCs w:val="28"/>
        </w:rPr>
        <w:t>月</w:t>
      </w:r>
      <w:r>
        <w:rPr>
          <w:rFonts w:hint="eastAsia" w:ascii="仿宋_GB2312" w:hAnsi="仿宋_GB2312" w:eastAsia="仿宋_GB2312" w:cs="仿宋_GB2312"/>
          <w:b/>
          <w:bCs w:val="0"/>
          <w:sz w:val="28"/>
          <w:szCs w:val="28"/>
          <w:lang w:val="en-US" w:eastAsia="zh-CN"/>
        </w:rPr>
        <w:t>2</w:t>
      </w:r>
      <w:r>
        <w:rPr>
          <w:rFonts w:hint="eastAsia" w:ascii="仿宋_GB2312" w:hAnsi="仿宋_GB2312" w:eastAsia="仿宋_GB2312" w:cs="仿宋_GB2312"/>
          <w:b/>
          <w:bCs w:val="0"/>
          <w:sz w:val="28"/>
          <w:szCs w:val="28"/>
        </w:rPr>
        <w:t>日～2025年</w:t>
      </w:r>
      <w:r>
        <w:rPr>
          <w:rFonts w:hint="eastAsia" w:ascii="仿宋_GB2312" w:hAnsi="仿宋_GB2312" w:eastAsia="仿宋_GB2312" w:cs="仿宋_GB2312"/>
          <w:b/>
          <w:bCs w:val="0"/>
          <w:sz w:val="28"/>
          <w:szCs w:val="28"/>
          <w:lang w:val="en-US" w:eastAsia="zh-CN"/>
        </w:rPr>
        <w:t>9</w:t>
      </w:r>
      <w:r>
        <w:rPr>
          <w:rFonts w:hint="eastAsia" w:ascii="仿宋_GB2312" w:hAnsi="仿宋_GB2312" w:eastAsia="仿宋_GB2312" w:cs="仿宋_GB2312"/>
          <w:b/>
          <w:bCs w:val="0"/>
          <w:sz w:val="28"/>
          <w:szCs w:val="28"/>
        </w:rPr>
        <w:t>月</w:t>
      </w:r>
      <w:r>
        <w:rPr>
          <w:rFonts w:hint="eastAsia" w:ascii="仿宋_GB2312" w:hAnsi="仿宋_GB2312" w:eastAsia="仿宋_GB2312" w:cs="仿宋_GB2312"/>
          <w:b/>
          <w:bCs w:val="0"/>
          <w:sz w:val="28"/>
          <w:szCs w:val="28"/>
          <w:lang w:val="en-US" w:eastAsia="zh-CN"/>
        </w:rPr>
        <w:t>8</w:t>
      </w:r>
      <w:r>
        <w:rPr>
          <w:rFonts w:hint="eastAsia" w:ascii="仿宋_GB2312" w:hAnsi="仿宋_GB2312" w:eastAsia="仿宋_GB2312" w:cs="仿宋_GB2312"/>
          <w:b/>
          <w:bCs w:val="0"/>
          <w:sz w:val="28"/>
          <w:szCs w:val="28"/>
        </w:rPr>
        <w:t>日（北京时间）。</w:t>
      </w:r>
    </w:p>
    <w:p w14:paraId="0AA26D7F">
      <w:pPr>
        <w:pStyle w:val="2"/>
        <w:ind w:firstLine="562" w:firstLineChars="200"/>
        <w:rPr>
          <w:rFonts w:hint="default" w:eastAsia="仿宋_GB2312"/>
          <w:lang w:val="en-US" w:eastAsia="zh-CN"/>
        </w:rPr>
      </w:pPr>
      <w:r>
        <w:rPr>
          <w:rFonts w:hint="eastAsia" w:ascii="仿宋_GB2312" w:hAnsi="仿宋_GB2312" w:eastAsia="仿宋_GB2312" w:cs="仿宋_GB2312"/>
          <w:b/>
          <w:bCs w:val="0"/>
          <w:sz w:val="28"/>
          <w:szCs w:val="28"/>
          <w:lang w:val="en-US" w:eastAsia="zh-CN"/>
        </w:rPr>
        <w:t>3.谈判时间：2025年9月9日上午8：30分（现场谈判）</w:t>
      </w:r>
    </w:p>
    <w:p w14:paraId="15C1E575">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七、招标文件获取</w:t>
      </w:r>
    </w:p>
    <w:p w14:paraId="6ECB6043">
      <w:pPr>
        <w:spacing w:line="360" w:lineRule="auto"/>
        <w:ind w:firstLine="560" w:firstLineChars="200"/>
        <w:jc w:val="left"/>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rPr>
        <w:t>1、通过登录济钢集团阳光购销平台网上</w:t>
      </w:r>
      <w:r>
        <w:rPr>
          <w:rFonts w:hint="eastAsia" w:ascii="仿宋_GB2312" w:hAnsi="仿宋_GB2312" w:eastAsia="仿宋_GB2312" w:cs="仿宋_GB2312"/>
          <w:bCs/>
          <w:sz w:val="28"/>
          <w:szCs w:val="28"/>
          <w:lang w:val="zh-CN"/>
        </w:rPr>
        <w:t>获取电子版</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zh-CN"/>
        </w:rPr>
        <w:t>不提供纸质版，</w:t>
      </w:r>
      <w:r>
        <w:rPr>
          <w:rFonts w:hint="eastAsia" w:ascii="仿宋_GB2312" w:hAnsi="仿宋_GB2312" w:eastAsia="仿宋_GB2312" w:cs="仿宋_GB2312"/>
          <w:bCs/>
          <w:sz w:val="28"/>
          <w:szCs w:val="28"/>
        </w:rPr>
        <w:t>系统网址：bidding.jigang.com.cn。</w:t>
      </w:r>
    </w:p>
    <w:p w14:paraId="0CF10870">
      <w:pPr>
        <w:spacing w:line="360" w:lineRule="auto"/>
        <w:ind w:firstLine="560" w:firstLineChars="200"/>
        <w:jc w:val="left"/>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val="zh-CN"/>
        </w:rPr>
        <w:t>、售价：</w:t>
      </w:r>
      <w:r>
        <w:rPr>
          <w:rFonts w:hint="eastAsia" w:ascii="仿宋_GB2312" w:hAnsi="仿宋_GB2312" w:eastAsia="仿宋_GB2312" w:cs="仿宋_GB2312"/>
          <w:bCs/>
          <w:sz w:val="28"/>
          <w:szCs w:val="28"/>
        </w:rPr>
        <w:t>免费获取。</w:t>
      </w:r>
    </w:p>
    <w:p w14:paraId="4EE67EB3">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八、投标保证金</w:t>
      </w:r>
    </w:p>
    <w:p w14:paraId="475B0FAF">
      <w:pPr>
        <w:spacing w:line="360" w:lineRule="auto"/>
        <w:ind w:firstLine="560" w:firstLineChars="200"/>
        <w:jc w:val="left"/>
        <w:rPr>
          <w:rFonts w:hint="eastAsia" w:ascii="仿宋_GB2312" w:hAnsi="仿宋_GB2312" w:eastAsia="仿宋_GB2312" w:cs="仿宋_GB2312"/>
          <w:b/>
          <w:bCs w:val="0"/>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
          <w:bCs w:val="0"/>
          <w:sz w:val="28"/>
          <w:szCs w:val="28"/>
        </w:rPr>
        <w:t>投标保证金1000元（大写：壹仟元整/人民币）。</w:t>
      </w:r>
    </w:p>
    <w:p w14:paraId="3B55B30D">
      <w:pPr>
        <w:spacing w:line="360" w:lineRule="auto"/>
        <w:ind w:firstLine="562" w:firstLineChars="200"/>
        <w:jc w:val="left"/>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2、投标保证金最后缴纳日期：2025年</w:t>
      </w:r>
      <w:r>
        <w:rPr>
          <w:rFonts w:hint="eastAsia" w:ascii="仿宋_GB2312" w:hAnsi="仿宋_GB2312" w:eastAsia="仿宋_GB2312" w:cs="仿宋_GB2312"/>
          <w:b/>
          <w:bCs w:val="0"/>
          <w:sz w:val="28"/>
          <w:szCs w:val="28"/>
          <w:lang w:val="en-US" w:eastAsia="zh-CN"/>
        </w:rPr>
        <w:t>9</w:t>
      </w:r>
      <w:r>
        <w:rPr>
          <w:rFonts w:hint="eastAsia" w:ascii="仿宋_GB2312" w:hAnsi="仿宋_GB2312" w:eastAsia="仿宋_GB2312" w:cs="仿宋_GB2312"/>
          <w:b/>
          <w:bCs w:val="0"/>
          <w:sz w:val="28"/>
          <w:szCs w:val="28"/>
        </w:rPr>
        <w:t xml:space="preserve">月 </w:t>
      </w:r>
      <w:r>
        <w:rPr>
          <w:rFonts w:hint="eastAsia" w:ascii="仿宋_GB2312" w:hAnsi="仿宋_GB2312" w:eastAsia="仿宋_GB2312" w:cs="仿宋_GB2312"/>
          <w:b/>
          <w:bCs w:val="0"/>
          <w:sz w:val="28"/>
          <w:szCs w:val="28"/>
          <w:lang w:val="en-US" w:eastAsia="zh-CN"/>
        </w:rPr>
        <w:t>8</w:t>
      </w:r>
      <w:r>
        <w:rPr>
          <w:rFonts w:hint="eastAsia" w:ascii="仿宋_GB2312" w:hAnsi="仿宋_GB2312" w:eastAsia="仿宋_GB2312" w:cs="仿宋_GB2312"/>
          <w:b/>
          <w:bCs w:val="0"/>
          <w:sz w:val="28"/>
          <w:szCs w:val="28"/>
        </w:rPr>
        <w:t>日</w:t>
      </w:r>
      <w:r>
        <w:rPr>
          <w:rFonts w:ascii="仿宋_GB2312" w:hAnsi="仿宋_GB2312" w:eastAsia="仿宋_GB2312" w:cs="仿宋_GB2312"/>
          <w:b/>
          <w:bCs w:val="0"/>
          <w:sz w:val="28"/>
          <w:szCs w:val="28"/>
        </w:rPr>
        <w:t>17</w:t>
      </w:r>
      <w:r>
        <w:rPr>
          <w:rFonts w:hint="eastAsia" w:ascii="仿宋_GB2312" w:hAnsi="仿宋_GB2312" w:eastAsia="仿宋_GB2312" w:cs="仿宋_GB2312"/>
          <w:b/>
          <w:bCs w:val="0"/>
          <w:sz w:val="28"/>
          <w:szCs w:val="28"/>
        </w:rPr>
        <w:t>时</w:t>
      </w:r>
      <w:r>
        <w:rPr>
          <w:rFonts w:hint="eastAsia" w:ascii="仿宋_GB2312" w:hAnsi="仿宋_GB2312" w:eastAsia="仿宋_GB2312" w:cs="仿宋_GB2312"/>
          <w:b/>
          <w:bCs w:val="0"/>
          <w:sz w:val="28"/>
          <w:szCs w:val="28"/>
          <w:lang w:val="en-US" w:eastAsia="zh-CN"/>
        </w:rPr>
        <w:t>前</w:t>
      </w:r>
      <w:r>
        <w:rPr>
          <w:rFonts w:hint="eastAsia" w:ascii="仿宋_GB2312" w:hAnsi="仿宋_GB2312" w:eastAsia="仿宋_GB2312" w:cs="仿宋_GB2312"/>
          <w:b/>
          <w:bCs w:val="0"/>
          <w:sz w:val="28"/>
          <w:szCs w:val="28"/>
        </w:rPr>
        <w:t>（北京时间）。逾期缴纳的，招标人有权拒绝其投标。</w:t>
      </w:r>
    </w:p>
    <w:p w14:paraId="64909C6B">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3、投标保证金应从投标人银行基本账户内转出或汇出，为方便退还不出具收据。交款注明招标编号、项目简称及款项性质（投标保证金），并将交款回单留存查验。</w:t>
      </w:r>
    </w:p>
    <w:p w14:paraId="591EFE8F">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4、交纳投标保证金账户信息：</w:t>
      </w:r>
    </w:p>
    <w:p w14:paraId="7004178C">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单位名称：济南鲍德冶金石灰石有限公司</w:t>
      </w:r>
    </w:p>
    <w:p w14:paraId="3EF7B224">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开户行：农行章丘支行埠村分行</w:t>
      </w:r>
    </w:p>
    <w:p w14:paraId="2302C1BC">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账号：15-137301040002949</w:t>
      </w:r>
    </w:p>
    <w:p w14:paraId="465C6052">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5、在递交投标文件时，携带投标保证金交款回单原件及复印件，以备查验。</w:t>
      </w:r>
    </w:p>
    <w:p w14:paraId="44247801">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九、投标报价</w:t>
      </w:r>
    </w:p>
    <w:p w14:paraId="05987020">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1、报价方式：投标总价。</w:t>
      </w:r>
    </w:p>
    <w:p w14:paraId="5D4C1863">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2、报价币种：人民币。</w:t>
      </w:r>
    </w:p>
    <w:p w14:paraId="4B600378">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3、含6%专用增值税价格。</w:t>
      </w:r>
    </w:p>
    <w:p w14:paraId="260A07F0">
      <w:pPr>
        <w:spacing w:line="360" w:lineRule="auto"/>
        <w:ind w:firstLine="562" w:firstLineChars="200"/>
        <w:jc w:val="left"/>
        <w:rPr>
          <w:rFonts w:hint="eastAsia" w:ascii="仿宋_GB2312" w:hAnsi="仿宋_GB2312" w:eastAsia="仿宋_GB2312" w:cs="仿宋_GB2312"/>
          <w:b/>
          <w:sz w:val="28"/>
          <w:szCs w:val="28"/>
          <w:lang w:val="zh-CN"/>
        </w:rPr>
      </w:pPr>
      <w:r>
        <w:rPr>
          <w:rFonts w:hint="eastAsia" w:ascii="仿宋_GB2312" w:hAnsi="仿宋_GB2312" w:eastAsia="仿宋_GB2312" w:cs="仿宋_GB2312"/>
          <w:b/>
          <w:sz w:val="28"/>
          <w:szCs w:val="28"/>
        </w:rPr>
        <w:t>十、</w:t>
      </w:r>
      <w:r>
        <w:rPr>
          <w:rFonts w:hint="eastAsia" w:ascii="仿宋_GB2312" w:hAnsi="仿宋_GB2312" w:eastAsia="仿宋_GB2312" w:cs="仿宋_GB2312"/>
          <w:b/>
          <w:sz w:val="28"/>
          <w:szCs w:val="28"/>
          <w:lang w:val="zh-CN"/>
        </w:rPr>
        <w:t>投标文件的递交</w:t>
      </w:r>
    </w:p>
    <w:p w14:paraId="28B03E7A">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zh-CN"/>
        </w:rPr>
        <w:t>1、</w:t>
      </w:r>
      <w:r>
        <w:rPr>
          <w:rFonts w:hint="eastAsia" w:ascii="仿宋_GB2312" w:hAnsi="仿宋_GB2312" w:eastAsia="仿宋_GB2312" w:cs="仿宋_GB2312"/>
          <w:bCs/>
          <w:sz w:val="28"/>
          <w:szCs w:val="28"/>
        </w:rPr>
        <w:t>投标文件提交截止时间：2025年</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日</w:t>
      </w:r>
      <w:r>
        <w:rPr>
          <w:rFonts w:hint="eastAsia" w:ascii="仿宋_GB2312" w:hAnsi="仿宋_GB2312" w:eastAsia="仿宋_GB2312" w:cs="仿宋_GB2312"/>
          <w:bCs/>
          <w:sz w:val="28"/>
          <w:szCs w:val="28"/>
          <w:lang w:val="en-US" w:eastAsia="zh-CN"/>
        </w:rPr>
        <w:t>上午8：30分</w:t>
      </w:r>
      <w:r>
        <w:rPr>
          <w:rFonts w:hint="eastAsia" w:ascii="仿宋_GB2312" w:hAnsi="仿宋_GB2312" w:eastAsia="仿宋_GB2312" w:cs="仿宋_GB2312"/>
          <w:bCs/>
          <w:sz w:val="28"/>
          <w:szCs w:val="28"/>
        </w:rPr>
        <w:t>（北京时间）。</w:t>
      </w:r>
    </w:p>
    <w:p w14:paraId="770F7E64">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val="en-US" w:eastAsia="zh-CN"/>
        </w:rPr>
        <w:t>谈判</w:t>
      </w:r>
      <w:r>
        <w:rPr>
          <w:rFonts w:hint="eastAsia" w:ascii="仿宋_GB2312" w:hAnsi="仿宋_GB2312" w:eastAsia="仿宋_GB2312" w:cs="仿宋_GB2312"/>
          <w:bCs/>
          <w:sz w:val="28"/>
          <w:szCs w:val="28"/>
        </w:rPr>
        <w:t>时间：2025年</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日</w:t>
      </w:r>
      <w:r>
        <w:rPr>
          <w:rFonts w:ascii="仿宋_GB2312" w:hAnsi="仿宋_GB2312" w:eastAsia="仿宋_GB2312" w:cs="仿宋_GB2312"/>
          <w:bCs/>
          <w:sz w:val="28"/>
          <w:szCs w:val="28"/>
        </w:rPr>
        <w:t>8</w:t>
      </w:r>
      <w:r>
        <w:rPr>
          <w:rFonts w:hint="eastAsia" w:ascii="仿宋_GB2312" w:hAnsi="仿宋_GB2312" w:eastAsia="仿宋_GB2312" w:cs="仿宋_GB2312"/>
          <w:bCs/>
          <w:sz w:val="28"/>
          <w:szCs w:val="28"/>
        </w:rPr>
        <w:t>时</w:t>
      </w:r>
      <w:r>
        <w:rPr>
          <w:rFonts w:ascii="仿宋_GB2312" w:hAnsi="仿宋_GB2312" w:eastAsia="仿宋_GB2312" w:cs="仿宋_GB2312"/>
          <w:bCs/>
          <w:sz w:val="28"/>
          <w:szCs w:val="28"/>
        </w:rPr>
        <w:t>30</w:t>
      </w:r>
      <w:r>
        <w:rPr>
          <w:rFonts w:hint="eastAsia" w:ascii="仿宋_GB2312" w:hAnsi="仿宋_GB2312" w:eastAsia="仿宋_GB2312" w:cs="仿宋_GB2312"/>
          <w:bCs/>
          <w:sz w:val="28"/>
          <w:szCs w:val="28"/>
        </w:rPr>
        <w:t>分（北京时间）。</w:t>
      </w:r>
      <w:bookmarkStart w:id="4" w:name="_GoBack"/>
      <w:bookmarkEnd w:id="4"/>
    </w:p>
    <w:p w14:paraId="51FCE05A">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lang w:val="zh-CN"/>
        </w:rPr>
        <w:t>、逾期送达的、未送达指定地点的或者不按照竞争性谈判文件要求密封的投标文件，招标人将予以拒收。</w:t>
      </w:r>
    </w:p>
    <w:p w14:paraId="5FA10C90">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十一、资格审查</w:t>
      </w:r>
    </w:p>
    <w:p w14:paraId="758ACD28">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资格后审，不接受联合体。</w:t>
      </w:r>
    </w:p>
    <w:p w14:paraId="141CA586">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十二、安全要求</w:t>
      </w:r>
    </w:p>
    <w:p w14:paraId="4E0A4430">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参加投标的人员在济钢集团有限公司的一切活动,必须遵守济钢集团有限公司的安全规定。需要现场踏勘时,必须遵守安全管理规定,服从现场人员指挥。</w:t>
      </w:r>
    </w:p>
    <w:p w14:paraId="0C929D78">
      <w:pPr>
        <w:pStyle w:val="2"/>
        <w:spacing w:line="360" w:lineRule="auto"/>
        <w:ind w:firstLine="562" w:firstLineChars="200"/>
        <w:rPr>
          <w:rFonts w:hint="eastAsia" w:ascii="仿宋_GB2312" w:hAnsi="仿宋_GB2312" w:eastAsia="仿宋_GB2312" w:cs="仿宋_GB2312"/>
          <w:b/>
          <w:color w:val="auto"/>
          <w:kern w:val="2"/>
          <w:sz w:val="28"/>
          <w:szCs w:val="28"/>
        </w:rPr>
      </w:pPr>
      <w:r>
        <w:rPr>
          <w:rFonts w:hint="eastAsia" w:ascii="仿宋_GB2312" w:hAnsi="仿宋_GB2312" w:eastAsia="仿宋_GB2312" w:cs="仿宋_GB2312"/>
          <w:b/>
          <w:color w:val="auto"/>
          <w:kern w:val="2"/>
          <w:sz w:val="28"/>
          <w:szCs w:val="28"/>
        </w:rPr>
        <w:t>十三、公告中的内容和要求以最终的招标文件为准。</w:t>
      </w:r>
    </w:p>
    <w:p w14:paraId="719F9C80">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十四、联系方式 </w:t>
      </w:r>
    </w:p>
    <w:p w14:paraId="4FD8D7AD">
      <w:pPr>
        <w:pStyle w:val="2"/>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1、招标联系人：郑女士，联系电话：83719629  15098838165</w:t>
      </w:r>
    </w:p>
    <w:p w14:paraId="699B1CBF">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2、业务(技术)联系人：徐先生， 联系电话：83719988 18866888316</w:t>
      </w:r>
    </w:p>
    <w:p w14:paraId="1719ECEA">
      <w:pPr>
        <w:pStyle w:val="2"/>
        <w:spacing w:line="360" w:lineRule="auto"/>
        <w:rPr>
          <w:rFonts w:hint="eastAsia" w:ascii="仿宋_GB2312" w:hAnsi="仿宋_GB2312" w:eastAsia="仿宋_GB2312" w:cs="仿宋_GB2312"/>
          <w:bCs/>
          <w:color w:val="auto"/>
          <w:sz w:val="28"/>
          <w:szCs w:val="28"/>
          <w:highlight w:val="yellow"/>
        </w:rPr>
      </w:pPr>
    </w:p>
    <w:p w14:paraId="326FC296">
      <w:pPr>
        <w:spacing w:line="360" w:lineRule="auto"/>
        <w:jc w:val="righ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济南鲍德冶金石灰石有限公司</w:t>
      </w:r>
    </w:p>
    <w:p w14:paraId="52B7823D">
      <w:pPr>
        <w:spacing w:line="360" w:lineRule="auto"/>
        <w:ind w:firstLine="5320" w:firstLineChars="1900"/>
        <w:jc w:val="righ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日</w:t>
      </w:r>
    </w:p>
    <w:p w14:paraId="34477ACD">
      <w:pPr>
        <w:spacing w:line="360" w:lineRule="auto"/>
        <w:ind w:firstLine="640" w:firstLineChars="200"/>
        <w:jc w:val="left"/>
        <w:rPr>
          <w:rFonts w:hint="eastAsia" w:ascii="仿宋_GB2312" w:hAnsi="仿宋_GB2312" w:eastAsia="仿宋_GB2312" w:cs="仿宋_GB2312"/>
          <w:bCs/>
          <w:sz w:val="32"/>
          <w:szCs w:val="32"/>
          <w:highlight w:val="yellow"/>
        </w:rPr>
        <w:sectPr>
          <w:footerReference r:id="rId4" w:type="default"/>
          <w:pgSz w:w="11907" w:h="16840"/>
          <w:pgMar w:top="850" w:right="1134" w:bottom="850" w:left="1701" w:header="737" w:footer="737" w:gutter="0"/>
          <w:cols w:space="720" w:num="1"/>
          <w:docGrid w:type="lines" w:linePitch="312" w:charSpace="0"/>
        </w:sectPr>
      </w:pPr>
    </w:p>
    <w:bookmarkEnd w:id="2"/>
    <w:bookmarkEnd w:id="3"/>
    <w:p w14:paraId="25A2A2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89BD">
    <w:pPr>
      <w:pStyle w:val="3"/>
      <w:jc w:val="center"/>
    </w:pP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p>
  <w:p w14:paraId="3443546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B4FD8">
    <w:pPr>
      <w:pStyle w:val="3"/>
      <w:jc w:val="center"/>
    </w:pPr>
    <w:r>
      <w:rPr>
        <w:rStyle w:val="7"/>
      </w:rPr>
      <w:fldChar w:fldCharType="begin"/>
    </w:r>
    <w:r>
      <w:rPr>
        <w:rStyle w:val="7"/>
      </w:rPr>
      <w:instrText xml:space="preserve"> PAGE </w:instrText>
    </w:r>
    <w:r>
      <w:rPr>
        <w:rStyle w:val="7"/>
      </w:rPr>
      <w:fldChar w:fldCharType="separate"/>
    </w:r>
    <w:r>
      <w:rPr>
        <w:rStyle w:val="7"/>
      </w:rPr>
      <w:t>5</w:t>
    </w:r>
    <w:r>
      <w:rPr>
        <w:rStyle w:val="7"/>
      </w:rPr>
      <w:fldChar w:fldCharType="end"/>
    </w:r>
  </w:p>
  <w:p w14:paraId="1A62E95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A1EF0"/>
    <w:multiLevelType w:val="singleLevel"/>
    <w:tmpl w:val="367A1EF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3667D"/>
    <w:rsid w:val="5CDD1DFE"/>
    <w:rsid w:val="647E30EE"/>
    <w:rsid w:val="7233667D"/>
    <w:rsid w:val="7E455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qFormat/>
    <w:uiPriority w:val="99"/>
    <w:pPr>
      <w:tabs>
        <w:tab w:val="center" w:pos="4153"/>
        <w:tab w:val="right" w:pos="8306"/>
      </w:tabs>
      <w:snapToGrid w:val="0"/>
      <w:jc w:val="left"/>
    </w:pPr>
    <w:rPr>
      <w:kern w:val="0"/>
      <w:sz w:val="18"/>
      <w:szCs w:val="20"/>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qFormat/>
    <w:uiPriority w:val="99"/>
    <w:rPr>
      <w:rFonts w:cs="Times New Roman"/>
    </w:rPr>
  </w:style>
  <w:style w:type="paragraph" w:customStyle="1" w:styleId="8">
    <w:name w:val="p0"/>
    <w:basedOn w:val="1"/>
    <w:qFormat/>
    <w:uiPriority w:val="99"/>
    <w:pPr>
      <w:widowControl/>
    </w:pPr>
    <w:rPr>
      <w:kern w:val="0"/>
    </w:rPr>
  </w:style>
  <w:style w:type="paragraph" w:customStyle="1" w:styleId="9">
    <w:name w:val="一级"/>
    <w:basedOn w:val="10"/>
    <w:qFormat/>
    <w:uiPriority w:val="99"/>
    <w:rPr>
      <w:sz w:val="32"/>
    </w:rPr>
  </w:style>
  <w:style w:type="paragraph" w:customStyle="1" w:styleId="10">
    <w:name w:val="样式2"/>
    <w:basedOn w:val="1"/>
    <w:qFormat/>
    <w:uiPriority w:val="99"/>
    <w:pPr>
      <w:jc w:val="center"/>
      <w:outlineLvl w:val="0"/>
    </w:pPr>
    <w:rPr>
      <w:rFonts w:ascii="宋体"/>
      <w:b/>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1917</Words>
  <Characters>2089</Characters>
  <Lines>0</Lines>
  <Paragraphs>0</Paragraphs>
  <TotalTime>0</TotalTime>
  <ScaleCrop>false</ScaleCrop>
  <LinksUpToDate>false</LinksUpToDate>
  <CharactersWithSpaces>2099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2025-09-02T00:07:00Z</dcterms:created>
  <dc:creator>换个名字吧</dc:creator>
  <cp:lastModifiedBy>换个名字吧</cp:lastModifiedBy>
  <dcterms:modified xsi:type="dcterms:W3CDTF">2025-09-04T23:56:10Z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B00AFC447B4845C1B5068C5E8C22AA50_11</vt:lpwstr>
  </property>
  <property fmtid="{D5CDD505-2E9C-101B-9397-08002B2CF9AE}" pid="4" name="KSOTemplateDocerSaveRecord">
    <vt:lpwstr>eyJoZGlkIjoiNjU1ZDBhZGYzNGE2NTBkYzJjZDhiNGY0OWI1NmQ1ZmQiLCJ1c2VySWQiOiI3MzAxOTgwNzUifQ==</vt:lpwstr>
  </property>
</Properties>
</file>